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0148"/>
      </w:pPr>
      <w:r>
        <w:rPr/>
        <w:t>Додаток</w:t>
      </w:r>
      <w:r>
        <w:rPr>
          <w:spacing w:val="-4"/>
        </w:rPr>
        <w:t> </w:t>
      </w:r>
      <w:r>
        <w:rPr/>
        <w:t>8</w:t>
      </w:r>
    </w:p>
    <w:p>
      <w:pPr>
        <w:pStyle w:val="BodyText"/>
        <w:spacing w:line="237" w:lineRule="auto" w:before="5"/>
        <w:ind w:left="10148"/>
      </w:pPr>
      <w:r>
        <w:rPr/>
        <w:t>до</w:t>
      </w:r>
      <w:r>
        <w:rPr>
          <w:spacing w:val="2"/>
        </w:rPr>
        <w:t> </w:t>
      </w:r>
      <w:r>
        <w:rPr/>
        <w:t>договору</w:t>
      </w:r>
      <w:r>
        <w:rPr>
          <w:spacing w:val="-11"/>
        </w:rPr>
        <w:t> </w:t>
      </w:r>
      <w:r>
        <w:rPr/>
        <w:t>споживача</w:t>
      </w:r>
      <w:r>
        <w:rPr>
          <w:spacing w:val="-3"/>
        </w:rPr>
        <w:t> </w:t>
      </w:r>
      <w:r>
        <w:rPr/>
        <w:t>про</w:t>
      </w:r>
      <w:r>
        <w:rPr>
          <w:spacing w:val="-1"/>
        </w:rPr>
        <w:t> </w:t>
      </w:r>
      <w:r>
        <w:rPr/>
        <w:t>надання</w:t>
      </w:r>
      <w:r>
        <w:rPr>
          <w:spacing w:val="-7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-57"/>
        </w:rPr>
        <w:t> </w:t>
      </w:r>
      <w:r>
        <w:rPr/>
        <w:t>розподілу</w:t>
      </w:r>
      <w:r>
        <w:rPr>
          <w:spacing w:val="-9"/>
        </w:rPr>
        <w:t> </w:t>
      </w:r>
      <w:r>
        <w:rPr/>
        <w:t>електричної</w:t>
      </w:r>
      <w:r>
        <w:rPr>
          <w:spacing w:val="-7"/>
        </w:rPr>
        <w:t> </w:t>
      </w:r>
      <w:r>
        <w:rPr/>
        <w:t>енергії</w:t>
      </w:r>
    </w:p>
    <w:p>
      <w:pPr>
        <w:pStyle w:val="BodyText"/>
        <w:tabs>
          <w:tab w:pos="11938" w:val="left" w:leader="none"/>
          <w:tab w:pos="12658" w:val="left" w:leader="none"/>
        </w:tabs>
        <w:spacing w:line="275" w:lineRule="exact" w:before="3"/>
        <w:ind w:left="10138"/>
      </w:pP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14023" w:val="left" w:leader="none"/>
        </w:tabs>
        <w:spacing w:line="275" w:lineRule="exact"/>
        <w:ind w:left="10138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Title"/>
      </w:pPr>
      <w:r>
        <w:rPr/>
        <w:t>Розрахунок</w:t>
      </w:r>
      <w:r>
        <w:rPr>
          <w:spacing w:val="-4"/>
        </w:rPr>
        <w:t> </w:t>
      </w:r>
      <w:r>
        <w:rPr/>
        <w:t>втрат</w:t>
      </w:r>
      <w:r>
        <w:rPr>
          <w:spacing w:val="-1"/>
        </w:rPr>
        <w:t> </w:t>
      </w:r>
      <w:r>
        <w:rPr/>
        <w:t>електричної</w:t>
      </w:r>
      <w:r>
        <w:rPr>
          <w:spacing w:val="-3"/>
        </w:rPr>
        <w:t> </w:t>
      </w:r>
      <w:r>
        <w:rPr/>
        <w:t>енергії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мережах</w:t>
      </w:r>
      <w:r>
        <w:rPr>
          <w:spacing w:val="-8"/>
        </w:rPr>
        <w:t> </w:t>
      </w:r>
      <w:r>
        <w:rPr/>
        <w:t>споживача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33" w:right="113" w:firstLine="720"/>
        <w:jc w:val="both"/>
      </w:pPr>
      <w:r>
        <w:rPr/>
        <w:t>У разі встановлення розрахункових засобів обліку не на межі балансової належності електромереж значення обсягу електричної</w:t>
      </w:r>
      <w:r>
        <w:rPr>
          <w:spacing w:val="1"/>
        </w:rPr>
        <w:t> </w:t>
      </w:r>
      <w:r>
        <w:rPr/>
        <w:t>енергії, визначеного за показами такого засобу обліку, приводиться до відповідної межі балансової належності електромереж, а саме, втрати</w:t>
      </w:r>
      <w:r>
        <w:rPr>
          <w:spacing w:val="1"/>
        </w:rPr>
        <w:t> </w:t>
      </w:r>
      <w:r>
        <w:rPr/>
        <w:t>електричної енергії на ділянці електромережі від межі розподілу до місця встановлення приладу обліку відносяться на рахунок власника</w:t>
      </w:r>
      <w:r>
        <w:rPr>
          <w:spacing w:val="1"/>
        </w:rPr>
        <w:t> </w:t>
      </w:r>
      <w:r>
        <w:rPr/>
        <w:t>зазначеної</w:t>
      </w:r>
      <w:r>
        <w:rPr>
          <w:spacing w:val="-8"/>
        </w:rPr>
        <w:t> </w:t>
      </w:r>
      <w:r>
        <w:rPr/>
        <w:t>ділянки</w:t>
      </w:r>
      <w:r>
        <w:rPr>
          <w:spacing w:val="3"/>
        </w:rPr>
        <w:t> </w:t>
      </w:r>
      <w:r>
        <w:rPr/>
        <w:t>електромережі.</w:t>
      </w:r>
    </w:p>
    <w:p>
      <w:pPr>
        <w:pStyle w:val="BodyText"/>
        <w:spacing w:line="237" w:lineRule="auto" w:before="3"/>
        <w:ind w:left="233" w:right="111" w:firstLine="705"/>
        <w:jc w:val="both"/>
      </w:pPr>
      <w:r>
        <w:rPr/>
        <w:t>Технологічні втрати електричної енергії в мережах споживача розподіляються між суб’єктами господарювання пропорційно обсягу</w:t>
      </w:r>
      <w:r>
        <w:rPr>
          <w:spacing w:val="1"/>
        </w:rPr>
        <w:t> </w:t>
      </w:r>
      <w:r>
        <w:rPr/>
        <w:t>переданої</w:t>
      </w:r>
      <w:r>
        <w:rPr>
          <w:spacing w:val="-10"/>
        </w:rPr>
        <w:t> </w:t>
      </w:r>
      <w:r>
        <w:rPr/>
        <w:t>цими</w:t>
      </w:r>
      <w:r>
        <w:rPr>
          <w:spacing w:val="1"/>
        </w:rPr>
        <w:t> </w:t>
      </w:r>
      <w:r>
        <w:rPr/>
        <w:t>мережами належної</w:t>
      </w:r>
      <w:r>
        <w:rPr>
          <w:spacing w:val="-9"/>
        </w:rPr>
        <w:t> </w:t>
      </w:r>
      <w:r>
        <w:rPr/>
        <w:t>електричної</w:t>
      </w:r>
      <w:r>
        <w:rPr>
          <w:spacing w:val="-10"/>
        </w:rPr>
        <w:t> </w:t>
      </w:r>
      <w:r>
        <w:rPr/>
        <w:t>енергії</w:t>
      </w:r>
      <w:r>
        <w:rPr>
          <w:spacing w:val="-9"/>
        </w:rPr>
        <w:t> </w:t>
      </w:r>
      <w:r>
        <w:rPr/>
        <w:t>відповідним</w:t>
      </w:r>
      <w:r>
        <w:rPr>
          <w:spacing w:val="1"/>
        </w:rPr>
        <w:t> </w:t>
      </w:r>
      <w:r>
        <w:rPr/>
        <w:t>суб’єктам господарювання,</w:t>
      </w:r>
      <w:r>
        <w:rPr>
          <w:spacing w:val="-4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споживача-власника</w:t>
      </w:r>
      <w:r>
        <w:rPr>
          <w:spacing w:val="-2"/>
        </w:rPr>
        <w:t> </w:t>
      </w:r>
      <w:r>
        <w:rPr/>
        <w:t>цих</w:t>
      </w:r>
      <w:r>
        <w:rPr>
          <w:spacing w:val="-5"/>
        </w:rPr>
        <w:t> </w:t>
      </w:r>
      <w:r>
        <w:rPr/>
        <w:t>мереж.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розрахунків.</w:t>
      </w:r>
    </w:p>
    <w:p>
      <w:pPr>
        <w:pStyle w:val="BodyText"/>
      </w:pPr>
    </w:p>
    <w:p>
      <w:pPr>
        <w:pStyle w:val="BodyText"/>
        <w:spacing w:before="1"/>
        <w:ind w:left="233" w:right="107" w:firstLine="705"/>
        <w:jc w:val="both"/>
      </w:pPr>
      <w:r>
        <w:rPr/>
        <w:t>Для визначення технологічних втрат електричної енергії в трансформаторах і лініях електропередавання застосовуються «Методичні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визначення технологічних витрат електричної енергії в трансформаторах і лініях електропередавання» затверджені наказом</w:t>
      </w:r>
      <w:r>
        <w:rPr>
          <w:spacing w:val="1"/>
        </w:rPr>
        <w:t> </w:t>
      </w:r>
      <w:r>
        <w:rPr/>
        <w:t>Міністерства енергетики та вугільної промисловості України від</w:t>
      </w:r>
      <w:r>
        <w:rPr>
          <w:spacing w:val="1"/>
        </w:rPr>
        <w:t> </w:t>
      </w:r>
      <w:r>
        <w:rPr/>
        <w:t>21 червня 2013 року № 399 (далі – Методичні рекомендації). Розрахунок</w:t>
      </w:r>
      <w:r>
        <w:rPr>
          <w:spacing w:val="1"/>
        </w:rPr>
        <w:t> </w:t>
      </w:r>
      <w:r>
        <w:rPr/>
        <w:t>втрат</w:t>
      </w:r>
      <w:r>
        <w:rPr>
          <w:spacing w:val="1"/>
        </w:rPr>
        <w:t> </w:t>
      </w:r>
      <w:r>
        <w:rPr/>
        <w:t>проводиться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схеми</w:t>
      </w:r>
      <w:r>
        <w:rPr>
          <w:spacing w:val="3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режиму.</w:t>
      </w:r>
    </w:p>
    <w:p>
      <w:pPr>
        <w:pStyle w:val="BodyText"/>
        <w:spacing w:before="2"/>
      </w:pPr>
    </w:p>
    <w:p>
      <w:pPr>
        <w:pStyle w:val="BodyText"/>
        <w:spacing w:before="1"/>
        <w:ind w:left="233" w:right="107" w:firstLine="705"/>
        <w:jc w:val="both"/>
      </w:pPr>
      <w:r>
        <w:rPr/>
        <w:t>Загальна величина втрат</w:t>
      </w:r>
      <w:r>
        <w:rPr>
          <w:spacing w:val="1"/>
        </w:rPr>
        <w:t> </w:t>
      </w:r>
      <w:r>
        <w:rPr/>
        <w:t>електричної енергії</w:t>
      </w:r>
      <w:r>
        <w:rPr>
          <w:spacing w:val="1"/>
        </w:rPr>
        <w:t> </w:t>
      </w:r>
      <w:r>
        <w:rPr/>
        <w:t>розраховується</w:t>
      </w:r>
      <w:r>
        <w:rPr>
          <w:spacing w:val="1"/>
        </w:rPr>
        <w:t> </w:t>
      </w:r>
      <w:r>
        <w:rPr/>
        <w:t>за формулами</w:t>
      </w:r>
      <w:r>
        <w:rPr>
          <w:spacing w:val="1"/>
        </w:rPr>
        <w:t> </w:t>
      </w:r>
      <w:r>
        <w:rPr/>
        <w:t>5.3-5.6 Методичних рекомендацій.</w:t>
      </w:r>
      <w:r>
        <w:rPr>
          <w:spacing w:val="1"/>
        </w:rPr>
        <w:t> </w:t>
      </w:r>
      <w:r>
        <w:rPr/>
        <w:t>Розрахунок втрат</w:t>
      </w:r>
      <w:r>
        <w:rPr>
          <w:spacing w:val="1"/>
        </w:rPr>
        <w:t> </w:t>
      </w:r>
      <w:r>
        <w:rPr/>
        <w:t>електричної енергії в елементах електромережі здійснюється згідно розділу 7 Методичних рекомендацій, на підставі вихідних даних таблиці</w:t>
      </w:r>
      <w:r>
        <w:rPr>
          <w:spacing w:val="1"/>
        </w:rPr>
        <w:t> </w:t>
      </w:r>
      <w:r>
        <w:rPr>
          <w:spacing w:val="-1"/>
        </w:rPr>
        <w:t>1 п.2 та розрахункової схеми, наведеної в Додатку 7</w:t>
      </w:r>
      <w:r>
        <w:rPr/>
        <w:t> </w:t>
      </w:r>
      <w:r>
        <w:rPr>
          <w:spacing w:val="-1"/>
        </w:rPr>
        <w:t>договору </w:t>
      </w:r>
      <w:r>
        <w:rPr/>
        <w:t>споживача про надання послуг з розподілу в силових трансформато рах і</w:t>
      </w:r>
      <w:r>
        <w:rPr>
          <w:spacing w:val="1"/>
        </w:rPr>
        <w:t> </w:t>
      </w:r>
      <w:r>
        <w:rPr/>
        <w:t>автотрансформаторах, проводах ПЛ і жилах кабелів КЛ, струмообмежувальних та шунтувальних реакторах. Кліматичні втрати, які залежать</w:t>
      </w:r>
      <w:r>
        <w:rPr>
          <w:spacing w:val="1"/>
        </w:rPr>
        <w:t> </w:t>
      </w:r>
      <w:r>
        <w:rPr/>
        <w:t>від погодних умов та обумовлені короною розраховуються за формулою 7.29 (для ПЛ напругою вище 110 кВ). Втрати, які обумовлені</w:t>
      </w:r>
      <w:r>
        <w:rPr>
          <w:spacing w:val="1"/>
        </w:rPr>
        <w:t> </w:t>
      </w:r>
      <w:r>
        <w:rPr/>
        <w:t>недосконалістю ізоляції розраховуються за формулою 7.32 (для ПЛ напругою 6 кВ та вище) та за формулою 7.33 (для КЛ напругою 6 кВ та</w:t>
      </w:r>
      <w:r>
        <w:rPr>
          <w:spacing w:val="1"/>
        </w:rPr>
        <w:t> </w:t>
      </w:r>
      <w:r>
        <w:rPr/>
        <w:t>вище)</w:t>
      </w:r>
      <w:r>
        <w:rPr>
          <w:spacing w:val="-2"/>
        </w:rPr>
        <w:t> </w:t>
      </w:r>
      <w:r>
        <w:rPr/>
        <w:t>Методичних</w:t>
      </w:r>
      <w:r>
        <w:rPr>
          <w:spacing w:val="-3"/>
        </w:rPr>
        <w:t> </w:t>
      </w:r>
      <w:r>
        <w:rPr/>
        <w:t>рекомендацій.</w:t>
      </w:r>
    </w:p>
    <w:p>
      <w:pPr>
        <w:spacing w:after="0"/>
        <w:jc w:val="both"/>
        <w:sectPr>
          <w:type w:val="continuous"/>
          <w:pgSz w:w="16840" w:h="11910" w:orient="landscape"/>
          <w:pgMar w:top="1100" w:bottom="28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17" w:val="left" w:leader="none"/>
          <w:tab w:pos="2418" w:val="left" w:leader="none"/>
        </w:tabs>
        <w:spacing w:line="240" w:lineRule="auto" w:before="90" w:after="0"/>
        <w:ind w:left="2417" w:right="0" w:hanging="409"/>
        <w:jc w:val="left"/>
        <w:rPr>
          <w:sz w:val="24"/>
        </w:rPr>
      </w:pPr>
      <w:r>
        <w:rPr>
          <w:sz w:val="24"/>
        </w:rPr>
        <w:t>Дані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розрахунку</w:t>
      </w:r>
      <w:r>
        <w:rPr>
          <w:spacing w:val="-9"/>
          <w:sz w:val="24"/>
        </w:rPr>
        <w:t> </w:t>
      </w:r>
      <w:r>
        <w:rPr>
          <w:sz w:val="24"/>
        </w:rPr>
        <w:t>втрат</w:t>
      </w:r>
    </w:p>
    <w:p>
      <w:pPr>
        <w:pStyle w:val="BodyText"/>
        <w:spacing w:before="3" w:after="6"/>
        <w:ind w:left="11982"/>
      </w:pPr>
      <w:r>
        <w:rPr/>
        <w:t>Таблиця1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77"/>
        <w:gridCol w:w="534"/>
        <w:gridCol w:w="548"/>
        <w:gridCol w:w="553"/>
        <w:gridCol w:w="553"/>
        <w:gridCol w:w="668"/>
        <w:gridCol w:w="669"/>
        <w:gridCol w:w="668"/>
        <w:gridCol w:w="476"/>
        <w:gridCol w:w="476"/>
        <w:gridCol w:w="615"/>
        <w:gridCol w:w="562"/>
        <w:gridCol w:w="562"/>
        <w:gridCol w:w="562"/>
        <w:gridCol w:w="557"/>
        <w:gridCol w:w="562"/>
        <w:gridCol w:w="561"/>
        <w:gridCol w:w="571"/>
        <w:gridCol w:w="869"/>
        <w:gridCol w:w="715"/>
      </w:tblGrid>
      <w:tr>
        <w:trPr>
          <w:trHeight w:val="700" w:hRule="atLeast"/>
        </w:trPr>
        <w:tc>
          <w:tcPr>
            <w:tcW w:w="682" w:type="dxa"/>
            <w:vMerge w:val="restart"/>
            <w:textDirection w:val="btLr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2032" w:right="2036"/>
              <w:jc w:val="center"/>
              <w:rPr>
                <w:sz w:val="22"/>
              </w:rPr>
            </w:pPr>
            <w:r>
              <w:rPr>
                <w:sz w:val="22"/>
              </w:rPr>
              <w:t>ЕІС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точки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обліку</w:t>
            </w:r>
          </w:p>
        </w:tc>
        <w:tc>
          <w:tcPr>
            <w:tcW w:w="67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0"/>
              <w:ind w:left="1181"/>
              <w:rPr>
                <w:sz w:val="22"/>
              </w:rPr>
            </w:pPr>
            <w:r>
              <w:rPr>
                <w:sz w:val="22"/>
              </w:rPr>
              <w:t>Адреса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об’єкта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 однолінійної схеми</w:t>
            </w:r>
          </w:p>
        </w:tc>
        <w:tc>
          <w:tcPr>
            <w:tcW w:w="5145" w:type="dxa"/>
            <w:gridSpan w:val="9"/>
          </w:tcPr>
          <w:p>
            <w:pPr>
              <w:pStyle w:val="TableParagraph"/>
              <w:spacing w:before="92"/>
              <w:ind w:left="1329" w:right="344" w:hanging="965"/>
              <w:rPr>
                <w:sz w:val="22"/>
              </w:rPr>
            </w:pPr>
            <w:r>
              <w:rPr>
                <w:sz w:val="22"/>
              </w:rPr>
              <w:t>Вихідні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розрахунку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втрат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трансформаторах</w:t>
            </w:r>
          </w:p>
        </w:tc>
        <w:tc>
          <w:tcPr>
            <w:tcW w:w="4552" w:type="dxa"/>
            <w:gridSpan w:val="8"/>
          </w:tcPr>
          <w:p>
            <w:pPr>
              <w:pStyle w:val="TableParagraph"/>
              <w:spacing w:before="92"/>
              <w:ind w:left="980" w:right="623" w:hanging="312"/>
              <w:rPr>
                <w:sz w:val="22"/>
              </w:rPr>
            </w:pPr>
            <w:r>
              <w:rPr>
                <w:sz w:val="22"/>
              </w:rPr>
              <w:t>Вихідні дані для розрахунку втрат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електричної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енергії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лініях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spacing w:line="242" w:lineRule="auto" w:before="0"/>
              <w:ind w:left="461" w:right="414" w:hanging="24"/>
              <w:rPr>
                <w:sz w:val="22"/>
              </w:rPr>
            </w:pPr>
            <w:r>
              <w:rPr>
                <w:sz w:val="22"/>
              </w:rPr>
              <w:t>Години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роботи</w:t>
            </w:r>
          </w:p>
        </w:tc>
      </w:tr>
      <w:tr>
        <w:trPr>
          <w:trHeight w:val="5397" w:hRule="atLeast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extDirection w:val="btLr"/>
          </w:tcPr>
          <w:p>
            <w:pPr>
              <w:pStyle w:val="TableParagraph"/>
              <w:spacing w:before="188"/>
              <w:ind w:left="1695"/>
              <w:rPr>
                <w:sz w:val="22"/>
              </w:rPr>
            </w:pPr>
            <w:r>
              <w:rPr>
                <w:sz w:val="22"/>
              </w:rPr>
              <w:t>Назва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ПС,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№ТП (РП)</w:t>
            </w:r>
          </w:p>
        </w:tc>
        <w:tc>
          <w:tcPr>
            <w:tcW w:w="548" w:type="dxa"/>
            <w:textDirection w:val="btLr"/>
          </w:tcPr>
          <w:p>
            <w:pPr>
              <w:pStyle w:val="TableParagraph"/>
              <w:spacing w:before="196"/>
              <w:ind w:left="627" w:right="636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трансформатора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(автотрансформатора)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200"/>
              <w:ind w:left="1147"/>
              <w:rPr>
                <w:sz w:val="22"/>
              </w:rPr>
            </w:pPr>
            <w:r>
              <w:rPr>
                <w:sz w:val="22"/>
              </w:rPr>
              <w:t>Номінальна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потужність,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Sн, кВА</w:t>
            </w:r>
          </w:p>
        </w:tc>
        <w:tc>
          <w:tcPr>
            <w:tcW w:w="553" w:type="dxa"/>
            <w:textDirection w:val="btLr"/>
          </w:tcPr>
          <w:p>
            <w:pPr>
              <w:pStyle w:val="TableParagraph"/>
              <w:spacing w:before="199"/>
              <w:ind w:left="509"/>
              <w:rPr>
                <w:sz w:val="22"/>
              </w:rPr>
            </w:pPr>
            <w:r>
              <w:rPr>
                <w:sz w:val="22"/>
              </w:rPr>
              <w:t>Номінальна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напруга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бмоток,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Uвн,/Uвн/Uвн</w:t>
            </w:r>
          </w:p>
        </w:tc>
        <w:tc>
          <w:tcPr>
            <w:tcW w:w="668" w:type="dxa"/>
            <w:textDirection w:val="btLr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0"/>
              <w:ind w:left="297"/>
              <w:rPr>
                <w:sz w:val="22"/>
              </w:rPr>
            </w:pPr>
            <w:r>
              <w:rPr>
                <w:sz w:val="22"/>
              </w:rPr>
              <w:t>Номінальна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потужність обмоток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ВН/СН/НН (%Sн)</w:t>
            </w:r>
          </w:p>
        </w:tc>
        <w:tc>
          <w:tcPr>
            <w:tcW w:w="669" w:type="dxa"/>
            <w:textDirection w:val="btLr"/>
          </w:tcPr>
          <w:p>
            <w:pPr>
              <w:pStyle w:val="TableParagraph"/>
              <w:spacing w:line="244" w:lineRule="auto" w:before="121"/>
              <w:ind w:left="2002" w:right="217" w:hanging="1792"/>
              <w:rPr>
                <w:sz w:val="22"/>
              </w:rPr>
            </w:pPr>
            <w:r>
              <w:rPr>
                <w:sz w:val="22"/>
              </w:rPr>
              <w:t>Напруга короткого замикання, % UКВН- СН/UКВН-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НН/UКСН-НН</w:t>
            </w:r>
          </w:p>
        </w:tc>
        <w:tc>
          <w:tcPr>
            <w:tcW w:w="668" w:type="dxa"/>
            <w:textDirection w:val="btLr"/>
          </w:tcPr>
          <w:p>
            <w:pPr>
              <w:pStyle w:val="TableParagraph"/>
              <w:spacing w:line="244" w:lineRule="auto" w:before="120"/>
              <w:ind w:left="2021" w:right="227" w:hanging="1796"/>
              <w:rPr>
                <w:sz w:val="22"/>
              </w:rPr>
            </w:pPr>
            <w:r>
              <w:rPr>
                <w:sz w:val="22"/>
              </w:rPr>
              <w:t>Втрати короткого замикання, кВт РКВН- СН/РКВН-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НН/РКСН-НН</w:t>
            </w:r>
          </w:p>
        </w:tc>
        <w:tc>
          <w:tcPr>
            <w:tcW w:w="476" w:type="dxa"/>
            <w:textDirection w:val="btLr"/>
          </w:tcPr>
          <w:p>
            <w:pPr>
              <w:pStyle w:val="TableParagraph"/>
              <w:spacing w:before="152"/>
              <w:ind w:left="1690"/>
              <w:rPr>
                <w:sz w:val="22"/>
              </w:rPr>
            </w:pPr>
            <w:r>
              <w:rPr>
                <w:sz w:val="22"/>
              </w:rPr>
              <w:t>Втрати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х.х,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Рнх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(кВт)</w:t>
            </w:r>
          </w:p>
        </w:tc>
        <w:tc>
          <w:tcPr>
            <w:tcW w:w="476" w:type="dxa"/>
            <w:tcBorders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before="156"/>
              <w:ind w:left="1627"/>
              <w:rPr>
                <w:sz w:val="22"/>
              </w:rPr>
            </w:pPr>
            <w:r>
              <w:rPr>
                <w:sz w:val="22"/>
              </w:rPr>
              <w:t>Ступінь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підключення*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0"/>
              <w:ind w:left="873"/>
              <w:rPr>
                <w:sz w:val="22"/>
              </w:rPr>
            </w:pPr>
            <w:r>
              <w:rPr>
                <w:sz w:val="22"/>
              </w:rPr>
              <w:t>Марка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проводу (кабеля),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перетин,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before="193"/>
              <w:ind w:left="1401"/>
              <w:rPr>
                <w:sz w:val="22"/>
              </w:rPr>
            </w:pPr>
            <w:r>
              <w:rPr>
                <w:position w:val="2"/>
                <w:sz w:val="22"/>
              </w:rPr>
              <w:t>Номінальна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напруга,U</w:t>
            </w:r>
            <w:r>
              <w:rPr>
                <w:sz w:val="14"/>
              </w:rPr>
              <w:t>Н</w:t>
            </w:r>
            <w:r>
              <w:rPr>
                <w:position w:val="2"/>
                <w:sz w:val="22"/>
              </w:rPr>
              <w:t>,</w:t>
            </w:r>
            <w:r>
              <w:rPr>
                <w:spacing w:val="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кВ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before="193"/>
              <w:ind w:left="1469"/>
              <w:rPr>
                <w:sz w:val="22"/>
              </w:rPr>
            </w:pPr>
            <w:r>
              <w:rPr>
                <w:sz w:val="22"/>
              </w:rPr>
              <w:t>Питомий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опір,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Ом/км,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R0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before="193"/>
              <w:ind w:left="627" w:right="628"/>
              <w:jc w:val="center"/>
              <w:rPr>
                <w:sz w:val="22"/>
              </w:rPr>
            </w:pPr>
            <w:r>
              <w:rPr>
                <w:sz w:val="22"/>
              </w:rPr>
              <w:t>Довжина,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км</w:t>
            </w:r>
          </w:p>
        </w:tc>
        <w:tc>
          <w:tcPr>
            <w:tcW w:w="557" w:type="dxa"/>
            <w:textDirection w:val="btLr"/>
          </w:tcPr>
          <w:p>
            <w:pPr>
              <w:pStyle w:val="TableParagraph"/>
              <w:spacing w:before="193"/>
              <w:ind w:left="1142"/>
              <w:rPr>
                <w:sz w:val="22"/>
              </w:rPr>
            </w:pPr>
            <w:r>
              <w:rPr>
                <w:sz w:val="22"/>
              </w:rPr>
              <w:t>Зарядна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потужність,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Q(кВАр/км)</w:t>
            </w:r>
          </w:p>
        </w:tc>
        <w:tc>
          <w:tcPr>
            <w:tcW w:w="562" w:type="dxa"/>
            <w:textDirection w:val="btLr"/>
          </w:tcPr>
          <w:p>
            <w:pPr>
              <w:pStyle w:val="TableParagraph"/>
              <w:spacing w:before="198"/>
              <w:ind w:left="1104"/>
              <w:rPr>
                <w:sz w:val="22"/>
              </w:rPr>
            </w:pPr>
            <w:r>
              <w:rPr>
                <w:sz w:val="22"/>
              </w:rPr>
              <w:t>Ємнісна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провідність,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(мкСм/км)</w:t>
            </w:r>
          </w:p>
        </w:tc>
        <w:tc>
          <w:tcPr>
            <w:tcW w:w="561" w:type="dxa"/>
            <w:textDirection w:val="btLr"/>
          </w:tcPr>
          <w:p>
            <w:pPr>
              <w:pStyle w:val="TableParagraph"/>
              <w:spacing w:before="198"/>
              <w:ind w:left="912"/>
              <w:rPr>
                <w:sz w:val="22"/>
              </w:rPr>
            </w:pPr>
            <w:r>
              <w:rPr>
                <w:sz w:val="22"/>
              </w:rPr>
              <w:t>Рік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введення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експлуатацію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КЛ)</w:t>
            </w:r>
          </w:p>
        </w:tc>
        <w:tc>
          <w:tcPr>
            <w:tcW w:w="571" w:type="dxa"/>
            <w:textDirection w:val="btLr"/>
          </w:tcPr>
          <w:p>
            <w:pPr>
              <w:pStyle w:val="TableParagraph"/>
              <w:spacing w:before="203"/>
              <w:ind w:left="1627"/>
              <w:rPr>
                <w:sz w:val="22"/>
              </w:rPr>
            </w:pPr>
            <w:r>
              <w:rPr>
                <w:sz w:val="22"/>
              </w:rPr>
              <w:t>Ступінь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підключення*</w:t>
            </w:r>
          </w:p>
        </w:tc>
        <w:tc>
          <w:tcPr>
            <w:tcW w:w="869" w:type="dxa"/>
            <w:textDirection w:val="btLr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1666"/>
              <w:rPr>
                <w:sz w:val="22"/>
              </w:rPr>
            </w:pPr>
            <w:r>
              <w:rPr>
                <w:sz w:val="22"/>
              </w:rPr>
              <w:t>Під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навантаженням**</w:t>
            </w:r>
          </w:p>
        </w:tc>
        <w:tc>
          <w:tcPr>
            <w:tcW w:w="715" w:type="dxa"/>
            <w:textDirection w:val="btLr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0"/>
              <w:ind w:left="627" w:right="629"/>
              <w:jc w:val="center"/>
              <w:rPr>
                <w:sz w:val="22"/>
              </w:rPr>
            </w:pPr>
            <w:r>
              <w:rPr>
                <w:sz w:val="22"/>
              </w:rPr>
              <w:t>Під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напругою</w:t>
            </w:r>
          </w:p>
        </w:tc>
      </w:tr>
      <w:tr>
        <w:trPr>
          <w:trHeight w:val="345" w:hRule="atLeast"/>
        </w:trPr>
        <w:tc>
          <w:tcPr>
            <w:tcW w:w="682" w:type="dxa"/>
          </w:tcPr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4" w:type="dxa"/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53" w:type="dxa"/>
          </w:tcPr>
          <w:p>
            <w:pPr>
              <w:pStyle w:val="TableParagraph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53" w:type="dxa"/>
          </w:tcPr>
          <w:p>
            <w:pPr>
              <w:pStyle w:val="TableParagraph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8" w:type="dxa"/>
          </w:tcPr>
          <w:p>
            <w:pPr>
              <w:pStyle w:val="TableParagraph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68" w:type="dxa"/>
          </w:tcPr>
          <w:p>
            <w:pPr>
              <w:pStyle w:val="TableParagraph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6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2" w:type="dxa"/>
          </w:tcPr>
          <w:p>
            <w:pPr>
              <w:pStyle w:val="TableParagraph"/>
              <w:ind w:left="16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2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5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1" w:type="dxa"/>
          </w:tcPr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69" w:type="dxa"/>
          </w:tcPr>
          <w:p>
            <w:pPr>
              <w:pStyle w:val="TableParagraph"/>
              <w:ind w:left="299" w:right="29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15" w:type="dxa"/>
          </w:tcPr>
          <w:p>
            <w:pPr>
              <w:pStyle w:val="TableParagraph"/>
              <w:ind w:left="218" w:right="22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415"/>
      </w:pPr>
      <w:r>
        <w:rPr/>
        <w:t>*</w:t>
      </w:r>
      <w:r>
        <w:rPr>
          <w:spacing w:val="-2"/>
        </w:rPr>
        <w:t> </w:t>
      </w:r>
      <w:r>
        <w:rPr/>
        <w:t>Ступінь</w:t>
      </w:r>
      <w:r>
        <w:rPr>
          <w:spacing w:val="-2"/>
        </w:rPr>
        <w:t> </w:t>
      </w:r>
      <w:r>
        <w:rPr/>
        <w:t>підключення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послідовність</w:t>
      </w:r>
      <w:r>
        <w:rPr>
          <w:spacing w:val="-1"/>
        </w:rPr>
        <w:t> </w:t>
      </w:r>
      <w:r>
        <w:rPr/>
        <w:t>обладнання</w:t>
      </w:r>
      <w:r>
        <w:rPr>
          <w:spacing w:val="-2"/>
        </w:rPr>
        <w:t> </w:t>
      </w:r>
      <w:r>
        <w:rPr/>
        <w:t>від</w:t>
      </w:r>
      <w:r>
        <w:rPr>
          <w:spacing w:val="-4"/>
        </w:rPr>
        <w:t> </w:t>
      </w:r>
      <w:r>
        <w:rPr/>
        <w:t>межі</w:t>
      </w:r>
      <w:r>
        <w:rPr>
          <w:spacing w:val="-10"/>
        </w:rPr>
        <w:t> </w:t>
      </w:r>
      <w:r>
        <w:rPr/>
        <w:t>балансової</w:t>
      </w:r>
      <w:r>
        <w:rPr>
          <w:spacing w:val="-10"/>
        </w:rPr>
        <w:t> </w:t>
      </w:r>
      <w:r>
        <w:rPr/>
        <w:t>належності</w:t>
      </w:r>
      <w:r>
        <w:rPr>
          <w:spacing w:val="-11"/>
        </w:rPr>
        <w:t> </w:t>
      </w:r>
      <w:r>
        <w:rPr/>
        <w:t>до</w:t>
      </w:r>
      <w:r>
        <w:rPr>
          <w:spacing w:val="2"/>
        </w:rPr>
        <w:t> </w:t>
      </w:r>
      <w:r>
        <w:rPr/>
        <w:t>розрахункових</w:t>
      </w:r>
      <w:r>
        <w:rPr>
          <w:spacing w:val="-6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обліку</w:t>
      </w:r>
      <w:r>
        <w:rPr>
          <w:spacing w:val="-12"/>
        </w:rPr>
        <w:t> </w:t>
      </w:r>
      <w:r>
        <w:rPr/>
        <w:t>(1, 2</w:t>
      </w:r>
      <w:r>
        <w:rPr>
          <w:spacing w:val="-1"/>
        </w:rPr>
        <w:t> </w:t>
      </w:r>
      <w:r>
        <w:rPr/>
        <w:t>…)</w:t>
      </w:r>
    </w:p>
    <w:p>
      <w:pPr>
        <w:pStyle w:val="BodyText"/>
        <w:spacing w:before="3"/>
        <w:ind w:left="295"/>
      </w:pPr>
      <w:r>
        <w:rPr/>
        <w:t>**</w:t>
      </w:r>
      <w:r>
        <w:rPr>
          <w:spacing w:val="-3"/>
        </w:rPr>
        <w:t> </w:t>
      </w:r>
      <w:r>
        <w:rPr/>
        <w:t>Визначається</w:t>
      </w:r>
      <w:r>
        <w:rPr>
          <w:spacing w:val="-8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 додатка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-3"/>
        </w:rPr>
        <w:t> </w:t>
      </w:r>
      <w:r>
        <w:rPr/>
        <w:t>Договору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2" w:lineRule="auto"/>
        <w:ind w:left="233" w:right="109" w:firstLine="566"/>
        <w:jc w:val="both"/>
      </w:pPr>
      <w:r>
        <w:rPr/>
        <w:t>Коефіцієнт форми графіка навантаження приймають за таблицями 7.1 – 7.3 Методичних рекомендацій, у випадку неможливості чіткого</w:t>
      </w:r>
      <w:r>
        <w:rPr>
          <w:spacing w:val="-57"/>
        </w:rPr>
        <w:t> </w:t>
      </w:r>
      <w:r>
        <w:rPr>
          <w:position w:val="2"/>
        </w:rPr>
        <w:t>визначення</w:t>
      </w:r>
      <w:r>
        <w:rPr>
          <w:spacing w:val="1"/>
          <w:position w:val="2"/>
        </w:rPr>
        <w:t> </w:t>
      </w:r>
      <w:r>
        <w:rPr>
          <w:position w:val="2"/>
        </w:rPr>
        <w:t>характеристики</w:t>
      </w:r>
      <w:r>
        <w:rPr>
          <w:spacing w:val="1"/>
          <w:position w:val="2"/>
        </w:rPr>
        <w:t> </w:t>
      </w:r>
      <w:r>
        <w:rPr>
          <w:position w:val="2"/>
        </w:rPr>
        <w:t>споживача</w:t>
      </w:r>
      <w:r>
        <w:rPr>
          <w:spacing w:val="1"/>
          <w:position w:val="2"/>
        </w:rPr>
        <w:t> </w:t>
      </w:r>
      <w:r>
        <w:rPr>
          <w:position w:val="2"/>
        </w:rPr>
        <w:t>(віднесення</w:t>
      </w:r>
      <w:r>
        <w:rPr>
          <w:spacing w:val="1"/>
          <w:position w:val="2"/>
        </w:rPr>
        <w:t> </w:t>
      </w:r>
      <w:r>
        <w:rPr>
          <w:position w:val="2"/>
        </w:rPr>
        <w:t>до</w:t>
      </w:r>
      <w:r>
        <w:rPr>
          <w:spacing w:val="1"/>
          <w:position w:val="2"/>
        </w:rPr>
        <w:t> </w:t>
      </w:r>
      <w:r>
        <w:rPr>
          <w:position w:val="2"/>
        </w:rPr>
        <w:t>тієї</w:t>
      </w:r>
      <w:r>
        <w:rPr>
          <w:spacing w:val="1"/>
          <w:position w:val="2"/>
        </w:rPr>
        <w:t> </w:t>
      </w:r>
      <w:r>
        <w:rPr>
          <w:position w:val="2"/>
        </w:rPr>
        <w:t>чи</w:t>
      </w:r>
      <w:r>
        <w:rPr>
          <w:spacing w:val="1"/>
          <w:position w:val="2"/>
        </w:rPr>
        <w:t> </w:t>
      </w:r>
      <w:r>
        <w:rPr>
          <w:position w:val="2"/>
        </w:rPr>
        <w:t>іншої групи,</w:t>
      </w:r>
      <w:r>
        <w:rPr>
          <w:spacing w:val="1"/>
          <w:position w:val="2"/>
        </w:rPr>
        <w:t> </w:t>
      </w:r>
      <w:r>
        <w:rPr>
          <w:position w:val="2"/>
        </w:rPr>
        <w:t>змішане</w:t>
      </w:r>
      <w:r>
        <w:rPr>
          <w:spacing w:val="1"/>
          <w:position w:val="2"/>
        </w:rPr>
        <w:t> </w:t>
      </w:r>
      <w:r>
        <w:rPr>
          <w:position w:val="2"/>
        </w:rPr>
        <w:t>навантаження,</w:t>
      </w:r>
      <w:r>
        <w:rPr>
          <w:spacing w:val="1"/>
          <w:position w:val="2"/>
        </w:rPr>
        <w:t> </w:t>
      </w:r>
      <w:r>
        <w:rPr>
          <w:position w:val="2"/>
        </w:rPr>
        <w:t>інше)</w:t>
      </w:r>
      <w:r>
        <w:rPr>
          <w:spacing w:val="1"/>
          <w:position w:val="2"/>
        </w:rPr>
        <w:t> </w:t>
      </w:r>
      <w:r>
        <w:rPr>
          <w:position w:val="2"/>
        </w:rPr>
        <w:t>К</w:t>
      </w:r>
      <w:r>
        <w:rPr>
          <w:spacing w:val="1"/>
          <w:position w:val="2"/>
        </w:rPr>
        <w:t> </w:t>
      </w:r>
      <w:r>
        <w:rPr>
          <w:sz w:val="16"/>
        </w:rPr>
        <w:t>ф</w:t>
      </w:r>
      <w:r>
        <w:rPr>
          <w:spacing w:val="1"/>
          <w:sz w:val="16"/>
        </w:rPr>
        <w:t> </w:t>
      </w:r>
      <w:r>
        <w:rPr>
          <w:position w:val="11"/>
          <w:sz w:val="16"/>
        </w:rPr>
        <w:t>2</w:t>
      </w:r>
      <w:r>
        <w:rPr>
          <w:spacing w:val="1"/>
          <w:position w:val="11"/>
          <w:sz w:val="16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position w:val="2"/>
        </w:rPr>
        <w:t>1,15</w:t>
      </w:r>
      <w:r>
        <w:rPr>
          <w:spacing w:val="1"/>
          <w:position w:val="2"/>
        </w:rPr>
        <w:t> </w:t>
      </w:r>
      <w:r>
        <w:rPr>
          <w:position w:val="2"/>
        </w:rPr>
        <w:t>(абз.2</w:t>
      </w:r>
      <w:r>
        <w:rPr>
          <w:spacing w:val="60"/>
          <w:position w:val="2"/>
        </w:rPr>
        <w:t> </w:t>
      </w:r>
      <w:r>
        <w:rPr>
          <w:position w:val="2"/>
        </w:rPr>
        <w:t>п.</w:t>
      </w:r>
      <w:r>
        <w:rPr>
          <w:spacing w:val="60"/>
          <w:position w:val="2"/>
        </w:rPr>
        <w:t> </w:t>
      </w:r>
      <w:r>
        <w:rPr>
          <w:position w:val="2"/>
        </w:rPr>
        <w:t>6.11</w:t>
      </w:r>
      <w:r>
        <w:rPr>
          <w:spacing w:val="1"/>
          <w:position w:val="2"/>
        </w:rPr>
        <w:t> </w:t>
      </w:r>
      <w:r>
        <w:rPr/>
        <w:t>Методичних</w:t>
      </w:r>
      <w:r>
        <w:rPr>
          <w:spacing w:val="-4"/>
        </w:rPr>
        <w:t> </w:t>
      </w:r>
      <w:r>
        <w:rPr/>
        <w:t>рекомендацій):</w:t>
      </w:r>
    </w:p>
    <w:p>
      <w:pPr>
        <w:spacing w:after="0" w:line="232" w:lineRule="auto"/>
        <w:jc w:val="both"/>
        <w:sectPr>
          <w:pgSz w:w="16840" w:h="11910" w:orient="landscape"/>
          <w:pgMar w:top="1100" w:bottom="280" w:left="9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 w:after="11"/>
        <w:ind w:left="9034"/>
      </w:pPr>
      <w:r>
        <w:rPr/>
        <w:t>Таблиця</w:t>
      </w:r>
      <w:r>
        <w:rPr>
          <w:spacing w:val="1"/>
        </w:rPr>
        <w:t> </w:t>
      </w:r>
      <w:r>
        <w:rPr/>
        <w:t>2</w:t>
      </w:r>
    </w:p>
    <w:tbl>
      <w:tblPr>
        <w:tblW w:w="0" w:type="auto"/>
        <w:jc w:val="left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696"/>
        <w:gridCol w:w="884"/>
        <w:gridCol w:w="840"/>
        <w:gridCol w:w="874"/>
        <w:gridCol w:w="1681"/>
      </w:tblGrid>
      <w:tr>
        <w:trPr>
          <w:trHeight w:val="465" w:hRule="atLeast"/>
        </w:trPr>
        <w:tc>
          <w:tcPr>
            <w:tcW w:w="4144" w:type="dxa"/>
            <w:vMerge w:val="restart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spacing w:before="1"/>
              <w:ind w:left="383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споживача/ЕІС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4975" w:type="dxa"/>
            <w:gridSpan w:val="5"/>
          </w:tcPr>
          <w:p>
            <w:pPr>
              <w:pStyle w:val="TableParagraph"/>
              <w:spacing w:before="87"/>
              <w:ind w:left="354"/>
              <w:rPr>
                <w:i/>
                <w:sz w:val="16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коефіцієнта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Ф</w:t>
            </w:r>
          </w:p>
        </w:tc>
      </w:tr>
      <w:tr>
        <w:trPr>
          <w:trHeight w:val="330" w:hRule="atLeast"/>
        </w:trPr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4"/>
          </w:tcPr>
          <w:p>
            <w:pPr>
              <w:pStyle w:val="TableParagraph"/>
              <w:spacing w:before="20"/>
              <w:ind w:left="1230" w:right="1222"/>
              <w:jc w:val="center"/>
              <w:rPr>
                <w:sz w:val="24"/>
              </w:rPr>
            </w:pPr>
            <w:r>
              <w:rPr>
                <w:sz w:val="24"/>
              </w:rPr>
              <w:t>сезонне</w:t>
            </w:r>
          </w:p>
        </w:tc>
        <w:tc>
          <w:tcPr>
            <w:tcW w:w="1681" w:type="dxa"/>
            <w:vMerge w:val="restart"/>
          </w:tcPr>
          <w:p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середньорічне</w:t>
            </w:r>
          </w:p>
        </w:tc>
      </w:tr>
      <w:tr>
        <w:trPr>
          <w:trHeight w:val="312" w:hRule="atLeast"/>
        </w:trPr>
        <w:tc>
          <w:tcPr>
            <w:tcW w:w="4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11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884" w:type="dxa"/>
          </w:tcPr>
          <w:p>
            <w:pPr>
              <w:pStyle w:val="TableParagraph"/>
              <w:spacing w:before="11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840" w:type="dxa"/>
          </w:tcPr>
          <w:p>
            <w:pPr>
              <w:pStyle w:val="TableParagraph"/>
              <w:spacing w:before="11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літо</w:t>
            </w:r>
          </w:p>
        </w:tc>
        <w:tc>
          <w:tcPr>
            <w:tcW w:w="874" w:type="dxa"/>
          </w:tcPr>
          <w:p>
            <w:pPr>
              <w:pStyle w:val="TableParagraph"/>
              <w:spacing w:before="11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осінь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144" w:type="dxa"/>
          </w:tcPr>
          <w:p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before="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1" w:type="dxa"/>
          </w:tcPr>
          <w:p>
            <w:pPr>
              <w:pStyle w:val="TableParagraph"/>
              <w:spacing w:before="1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spacing w:line="275" w:lineRule="exact" w:before="1"/>
        <w:ind w:left="799" w:right="0" w:firstLine="0"/>
        <w:jc w:val="left"/>
        <w:rPr>
          <w:i/>
          <w:sz w:val="24"/>
        </w:rPr>
      </w:pPr>
      <w:r>
        <w:rPr>
          <w:i/>
          <w:sz w:val="24"/>
        </w:rPr>
        <w:t>Примітки:</w:t>
      </w:r>
    </w:p>
    <w:p>
      <w:pPr>
        <w:pStyle w:val="BodyText"/>
        <w:ind w:left="233" w:right="108" w:firstLine="566"/>
        <w:jc w:val="both"/>
      </w:pPr>
      <w:r>
        <w:rPr/>
        <w:t>Паспортні дані 3-х обмоткових трансформаторів заносяться трьома числами; паспортні дані 2-х обмоткових трансформаторів - одним</w:t>
      </w:r>
      <w:r>
        <w:rPr>
          <w:spacing w:val="1"/>
        </w:rPr>
        <w:t> </w:t>
      </w:r>
      <w:r>
        <w:rPr/>
        <w:t>числом. При розрахунку втрат електроенергії для елементів електричних мереж, для яких відсутні вихідні розрахункові дані згідно таблиць</w:t>
      </w:r>
      <w:r>
        <w:rPr>
          <w:spacing w:val="1"/>
        </w:rPr>
        <w:t> </w:t>
      </w:r>
      <w:r>
        <w:rPr/>
        <w:t>додатку Б Методичних рекомендацій, розрахунок вихідних розрахункових даних здійснюється розрахунковим шляхом за паспортними</w:t>
      </w:r>
      <w:r>
        <w:rPr>
          <w:spacing w:val="1"/>
        </w:rPr>
        <w:t> </w:t>
      </w:r>
      <w:r>
        <w:rPr/>
        <w:t>даними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формулами,</w:t>
      </w:r>
      <w:r>
        <w:rPr>
          <w:spacing w:val="3"/>
        </w:rPr>
        <w:t> </w:t>
      </w:r>
      <w:r>
        <w:rPr/>
        <w:t>наведеними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додатку</w:t>
      </w:r>
      <w:r>
        <w:rPr>
          <w:spacing w:val="-9"/>
        </w:rPr>
        <w:t> </w:t>
      </w:r>
      <w:r>
        <w:rPr/>
        <w:t>Б</w:t>
      </w:r>
      <w:r>
        <w:rPr>
          <w:spacing w:val="3"/>
        </w:rPr>
        <w:t> </w:t>
      </w:r>
      <w:r>
        <w:rPr/>
        <w:t>Методичних</w:t>
      </w:r>
      <w:r>
        <w:rPr>
          <w:spacing w:val="-3"/>
        </w:rPr>
        <w:t> </w:t>
      </w:r>
      <w:r>
        <w:rPr/>
        <w:t>рекомендацій.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020" w:val="left" w:leader="none"/>
        </w:tabs>
        <w:ind w:left="1933"/>
      </w:pPr>
      <w:r>
        <w:rPr/>
        <w:t>Оператор системи</w:t>
        <w:tab/>
        <w:t>Споживач</w:t>
      </w:r>
    </w:p>
    <w:p>
      <w:pPr>
        <w:pStyle w:val="BodyText"/>
        <w:tabs>
          <w:tab w:pos="8020" w:val="left" w:leader="none"/>
        </w:tabs>
        <w:spacing w:before="2"/>
        <w:ind w:left="1933"/>
      </w:pPr>
      <w:r>
        <w:rPr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667" w:val="left" w:leader="none"/>
          <w:tab w:pos="8020" w:val="left" w:leader="none"/>
          <w:tab w:pos="9755" w:val="left" w:leader="none"/>
        </w:tabs>
        <w:spacing w:before="90"/>
        <w:ind w:left="1933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8020" w:val="left" w:leader="none"/>
        </w:tabs>
        <w:spacing w:line="275" w:lineRule="exact"/>
        <w:ind w:left="1933"/>
      </w:pPr>
      <w:r>
        <w:rPr/>
        <w:t>МП</w:t>
        <w:tab/>
        <w:t>МП</w:t>
      </w:r>
    </w:p>
    <w:sectPr>
      <w:pgSz w:w="16840" w:h="11910" w:orient="landscape"/>
      <w:pgMar w:top="110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98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66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02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38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4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109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47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83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194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461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98" w:hanging="40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2022-10-03T06:15:52Z</dcterms:created>
  <dcterms:modified xsi:type="dcterms:W3CDTF">2022-10-03T06:15:52Z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